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8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6"/>
        <w:gridCol w:w="72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556" w:type="dxa"/>
          </w:tcPr>
          <w:p>
            <w:pPr>
              <w:widowControl/>
              <w:adjustRightInd w:val="0"/>
              <w:snapToGrid w:val="0"/>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技术指标</w:t>
            </w:r>
          </w:p>
        </w:tc>
        <w:tc>
          <w:tcPr>
            <w:tcW w:w="7233" w:type="dxa"/>
          </w:tcPr>
          <w:p>
            <w:pPr>
              <w:widowControl/>
              <w:adjustRightInd w:val="0"/>
              <w:snapToGrid w:val="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招标要求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3"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系统基本架构</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设备采用“2+1”系统结构，内外端机为TCP/IP网络协议的终点，阻断TCP/IP协议的直接贯通。内外端机之间采用专用硬件和专用协议进行连接，不可编程。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安全操作系统</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用自主研发专用的安全操作系统、增强型内核，能够对两个主机系统提供多层次、高强度的安全防护，保护其重要进程、文件、数据不受黑客侵袭。不采用通用的指令库和函数库，只提供有限的内部调试用指令函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kern w:val="0"/>
                <w:sz w:val="24"/>
                <w:szCs w:val="24"/>
              </w:rPr>
              <w:t>产品规格</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2U，标配单电源，内端机</w:t>
            </w:r>
            <w:r>
              <w:rPr>
                <w:rFonts w:hint="default"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4个10/100/1000Base-T接口，含1个MAN口； 外端机</w:t>
            </w:r>
            <w:r>
              <w:rPr>
                <w:rFonts w:hint="default"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4个10/100/1000Base-T接口，含1个 HA口； 标准配置包含web访问模块、邮件访问模块、FTP访问模块、数据库访问模块、视频监控模块、自定义应用模块。网络吞吐量</w:t>
            </w:r>
            <w:r>
              <w:rPr>
                <w:rFonts w:hint="default"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300Mbps；并发连接数</w:t>
            </w:r>
            <w:r>
              <w:rPr>
                <w:rFonts w:hint="default"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安全上网功能</w:t>
            </w:r>
          </w:p>
        </w:tc>
        <w:tc>
          <w:tcPr>
            <w:tcW w:w="7233" w:type="dxa"/>
          </w:tcPr>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支持WEB访问，支持HTTP协议应用的各种指令控制。</w:t>
            </w:r>
          </w:p>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支持HTTPS网络传输，并且可在SSL加密通道中分解出正常HTTPS网络应用，屏蔽自由门等各类加密翻墙软件的传输。 （提供功能截图证明）</w:t>
            </w:r>
          </w:p>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内容过滤：关键字过滤。</w:t>
            </w:r>
          </w:p>
          <w:p>
            <w:pPr>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其他过滤策略：文件类型、页面提交方式等。支持情景模式，能够控制用户上网以及服务器对外提供服务的具体时间。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安全邮件功能</w:t>
            </w:r>
          </w:p>
        </w:tc>
        <w:tc>
          <w:tcPr>
            <w:tcW w:w="7233" w:type="dxa"/>
          </w:tcPr>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提供安全的邮件访问，支持POP3、SMTP协议。</w:t>
            </w:r>
          </w:p>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支持情景模式，能够设置指定时间段允许进行邮件信息交换。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7"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文件传输功能</w:t>
            </w:r>
          </w:p>
        </w:tc>
        <w:tc>
          <w:tcPr>
            <w:tcW w:w="7233" w:type="dxa"/>
          </w:tcPr>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支持FTP文件传输协议，支持主动被动两种模式。支持FTP命令参数控制支持对传输文件的类型过滤。</w:t>
            </w:r>
          </w:p>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支持内容过滤。</w:t>
            </w:r>
          </w:p>
          <w:p>
            <w:pPr>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支持情景模式，能够设置时间段允许文件传输。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文件同步功能</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设备支持有客户端和无客户端两种文件同步方式。无客户端方式无需在用户服务器上安装任何插件，网闸不开放任何服务端口；有客户端方式可提供专用文件同步客户端安装在用户服务器上，提供安全的文件同步服务。（提供功能截图证明）</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支持文件同步容错策略和告警策略，同步出错能够自动重传并能够设置重传次数，出现异常同步状况能够终止同步弹出告警提示并记录日志。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556" w:type="dxa"/>
            <w:vAlign w:val="center"/>
          </w:tcPr>
          <w:p>
            <w:pPr>
              <w:widowControl/>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数据库访问功能</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提供对多种主流数据库,如：MYSQL、SQLSERVER、ORACLE、DB2、SYBASE等系统的安全访问。</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支持SQL语句控制。</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支持情景模式，能够设定特定时间允许访问数据库。</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 xml:space="preserve">代理、透明和路由工作模式下均支持数据库内部命令及命令参数控制策略。（提供功能截图证明）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7"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数据库同步功能</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备支持有客户端和无客户端两种数据据库同步方式。无客户端方式无需在用户服务器上安装任何插件，网闸不开放任何服务端口；有客户端方式可提供专用文件同步客户端安装在用户服务器上，提供安全的数据库同步服务。</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提供多种主流数据库系统如：ORACLE、SQLSERVER、MYSQL、SYBASE、DB2等之间的同步。</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支持达梦、人大金仓等国产数据同步。 </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支持二进制普通文件、图片、文本文件及BLOB大字段同步。</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支持灵活的数据冲突检测机制，当同步的数据记录发成冲突时，可以灵活处理出现冲突的数据记录。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视频监控</w:t>
            </w:r>
          </w:p>
        </w:tc>
        <w:tc>
          <w:tcPr>
            <w:tcW w:w="7233" w:type="dxa"/>
          </w:tcPr>
          <w:p>
            <w:pPr>
              <w:widowControl/>
              <w:adjustRightInd w:val="0"/>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内置视频监控模块，提供视频代理功能，兼容主流视频传输及控制协议</w:t>
            </w:r>
            <w:r>
              <w:rPr>
                <w:rFonts w:hint="eastAsia" w:asciiTheme="minorEastAsia" w:hAnsiTheme="minorEastAsia" w:eastAsiaTheme="minorEastAsia" w:cstheme="minorEastAsia"/>
                <w:color w:val="auto"/>
                <w:sz w:val="24"/>
                <w:szCs w:val="24"/>
              </w:rPr>
              <w:t>H.323、H.264、MMS、RTSP、SIP等；</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至少支持13家视频厂商的流媒体视频平台</w:t>
            </w:r>
            <w:r>
              <w:rPr>
                <w:rFonts w:hint="eastAsia" w:asciiTheme="minorEastAsia" w:hAnsiTheme="minorEastAsia" w:eastAsiaTheme="minorEastAsia" w:cstheme="minorEastAsia"/>
                <w:color w:val="auto"/>
                <w:kern w:val="0"/>
                <w:sz w:val="24"/>
                <w:szCs w:val="24"/>
              </w:rPr>
              <w:t xml:space="preserve">；支持视频平台级联，基于国标SIP协议提供上下级异构厂商视频厂商的平台级联，完成上级对下级视频平台的视频流调用；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1"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工控协议</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可扩展支持DCS/SCADA网络与办公网络之间的OPC应用、ModBus应用、西门子WINCC应用数据的传输。 </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支持同步、异步监测数据的传输，只需要绑定固定的一个起始端口即可满足动态的数据端口的数据传输。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内容审查</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支持文件类型黑白名单过滤；</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支持关键字过滤，支持关键字数据字典文件导入；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3"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管理配置</w:t>
            </w:r>
          </w:p>
        </w:tc>
        <w:tc>
          <w:tcPr>
            <w:tcW w:w="7233" w:type="dxa"/>
          </w:tcPr>
          <w:p>
            <w:pPr>
              <w:widowControl/>
              <w:adjustRightInd w:val="0"/>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采取三权分立的管理模式，包括系统管理员、安全保密员、安全审计员，用户只能维护操作本类基础管理角色的功能与操作，权限各不交叉。支持多用户权限分配制度，确保合法用户只能做指定的操作。</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管理端通过独立的管理口与网闸内网机相连，策略统一从内端机下发，不允许采用外端机上的任何网络接口进行管理。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其他功能</w:t>
            </w:r>
          </w:p>
        </w:tc>
        <w:tc>
          <w:tcPr>
            <w:tcW w:w="7233" w:type="dxa"/>
            <w:vAlign w:val="center"/>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支持代理模式、透明代理、路由模式三种工作模式，管理员可依据实际网络状况进行相应的部署，以满足各种网络环境状况。</w:t>
            </w:r>
            <w:r>
              <w:rPr>
                <w:rFonts w:hint="eastAsia" w:asciiTheme="minorEastAsia" w:hAnsiTheme="minorEastAsia" w:eastAsiaTheme="minorEastAsia" w:cstheme="minorEastAsia"/>
                <w:color w:val="auto"/>
                <w:kern w:val="0"/>
                <w:sz w:val="24"/>
                <w:szCs w:val="24"/>
              </w:rPr>
              <w:t xml:space="preserve"> </w:t>
            </w:r>
          </w:p>
          <w:p>
            <w:pPr>
              <w:widowControl/>
              <w:adjustRightInd w:val="0"/>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★支持网络诊断工具，包括ping、traceroute、tcp端口连接、抓包分析等。（提供功能截图证明）</w:t>
            </w:r>
            <w:r>
              <w:rPr>
                <w:rFonts w:hint="eastAsia" w:asciiTheme="minorEastAsia" w:hAnsiTheme="minorEastAsia" w:eastAsiaTheme="minorEastAsia" w:cstheme="minorEastAsia"/>
                <w:color w:val="auto"/>
                <w:kern w:val="0"/>
                <w:sz w:val="24"/>
                <w:szCs w:val="24"/>
              </w:rPr>
              <w:t xml:space="preserve"> </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支持设备最大流量控制，设备最大连接数控制，设备网络传输单元MTU值控制。</w:t>
            </w: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资质</w:t>
            </w:r>
          </w:p>
        </w:tc>
        <w:tc>
          <w:tcPr>
            <w:tcW w:w="7233" w:type="dxa"/>
          </w:tcPr>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公安部计算机信息系统安全专用产品销售许可证书（增强级）</w:t>
            </w:r>
          </w:p>
          <w:p>
            <w:pPr>
              <w:widowControl/>
              <w:adjustRightInd w:val="0"/>
              <w:snapToGri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具有IPv6 Ready Logo 认证证书</w:t>
            </w:r>
          </w:p>
          <w:p>
            <w:pPr>
              <w:widowControl/>
              <w:adjustRightInd w:val="0"/>
              <w:snapToGrid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0"/>
                <w:sz w:val="24"/>
                <w:szCs w:val="24"/>
              </w:rPr>
              <w:t>公安部GB/T28181-2016《公共安全视频监控联网系统信息传输、交换、控制技术要求》检测报告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rPr>
              <w:t>厂家资质要求</w:t>
            </w:r>
          </w:p>
        </w:tc>
        <w:tc>
          <w:tcPr>
            <w:tcW w:w="7233" w:type="dxa"/>
            <w:vAlign w:val="center"/>
          </w:tcPr>
          <w:p>
            <w:pPr>
              <w:widowControl/>
              <w:adjustRightInd w:val="0"/>
              <w:spacing w:line="360" w:lineRule="exact"/>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厂商需</w:t>
            </w:r>
            <w:r>
              <w:rPr>
                <w:rFonts w:hint="eastAsia" w:asciiTheme="minorEastAsia" w:hAnsiTheme="minorEastAsia" w:eastAsiaTheme="minorEastAsia" w:cstheme="minorEastAsia"/>
                <w:color w:val="auto"/>
                <w:sz w:val="24"/>
                <w:szCs w:val="24"/>
                <w:lang w:val="zh-CN" w:eastAsia="zh-CN"/>
              </w:rPr>
              <w:t>具备CMMI5软件研发能力认证证书</w:t>
            </w:r>
          </w:p>
          <w:p>
            <w:pPr>
              <w:widowControl/>
              <w:adjustRightInd w:val="0"/>
              <w:spacing w:line="360" w:lineRule="exact"/>
              <w:jc w:val="left"/>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厂商</w:t>
            </w:r>
            <w:r>
              <w:rPr>
                <w:rFonts w:hint="eastAsia" w:asciiTheme="minorEastAsia" w:hAnsiTheme="minorEastAsia" w:eastAsiaTheme="minorEastAsia" w:cstheme="minorEastAsia"/>
                <w:color w:val="auto"/>
                <w:sz w:val="24"/>
                <w:szCs w:val="24"/>
              </w:rPr>
              <w:t>具备TL9000质量管理体系认证证书</w:t>
            </w:r>
          </w:p>
          <w:p>
            <w:pPr>
              <w:widowControl/>
              <w:adjustRightInd w:val="0"/>
              <w:spacing w:line="3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厂商</w:t>
            </w:r>
            <w:r>
              <w:rPr>
                <w:rFonts w:hint="eastAsia" w:asciiTheme="minorEastAsia" w:hAnsiTheme="minorEastAsia" w:eastAsiaTheme="minorEastAsia" w:cstheme="minorEastAsia"/>
                <w:color w:val="auto"/>
                <w:sz w:val="24"/>
                <w:szCs w:val="24"/>
              </w:rPr>
              <w:t>具备国家计算机网络应急技术处理协调中心颁发的《网络安全应急服务支撑单位证书（国家级）》</w:t>
            </w:r>
          </w:p>
          <w:p>
            <w:pPr>
              <w:widowControl/>
              <w:adjustRightInd w:val="0"/>
              <w:spacing w:line="36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★厂商在江苏需具有分支机构，且需具有</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名以上CISP认证人员（提供证书），并提供近三个月社保证明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1556" w:type="dxa"/>
            <w:vAlign w:val="center"/>
          </w:tcPr>
          <w:p>
            <w:pPr>
              <w:adjustRightInd w:val="0"/>
              <w:snapToGrid w:val="0"/>
              <w:rPr>
                <w:rFonts w:hint="eastAsia" w:asciiTheme="minorEastAsia" w:hAnsiTheme="minorEastAsia" w:eastAsiaTheme="minorEastAsia" w:cstheme="minorEastAsia"/>
                <w:b/>
                <w:color w:val="auto"/>
                <w:kern w:val="0"/>
                <w:sz w:val="24"/>
                <w:szCs w:val="24"/>
                <w:lang w:val="en-US" w:eastAsia="zh-CN"/>
              </w:rPr>
            </w:pPr>
            <w:r>
              <w:rPr>
                <w:rFonts w:hint="eastAsia" w:asciiTheme="minorEastAsia" w:hAnsiTheme="minorEastAsia" w:eastAsiaTheme="minorEastAsia" w:cstheme="minorEastAsia"/>
                <w:b/>
                <w:color w:val="auto"/>
                <w:kern w:val="0"/>
                <w:sz w:val="24"/>
                <w:szCs w:val="24"/>
              </w:rPr>
              <w:t>★保修服务及授权</w:t>
            </w:r>
          </w:p>
        </w:tc>
        <w:tc>
          <w:tcPr>
            <w:tcW w:w="7233" w:type="dxa"/>
            <w:vAlign w:val="center"/>
          </w:tcPr>
          <w:p>
            <w:pPr>
              <w:widowControl/>
              <w:adjustRightInd w:val="0"/>
              <w:spacing w:line="360" w:lineRule="exact"/>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三年原厂商服务,原厂工程师上门安装、调试服务，</w:t>
            </w:r>
            <w:r>
              <w:rPr>
                <w:rFonts w:hint="eastAsia" w:asciiTheme="minorEastAsia" w:hAnsiTheme="minorEastAsia" w:eastAsiaTheme="minorEastAsia" w:cstheme="minorEastAsia"/>
                <w:color w:val="auto"/>
                <w:sz w:val="24"/>
                <w:szCs w:val="24"/>
                <w:lang w:eastAsia="zh-CN"/>
              </w:rPr>
              <w:t>送货</w:t>
            </w:r>
            <w:bookmarkStart w:id="0" w:name="_GoBack"/>
            <w:bookmarkEnd w:id="0"/>
            <w:r>
              <w:rPr>
                <w:rFonts w:hint="default" w:asciiTheme="minorEastAsia" w:hAnsiTheme="minorEastAsia" w:eastAsiaTheme="minorEastAsia" w:cstheme="minorEastAsia"/>
                <w:color w:val="auto"/>
                <w:sz w:val="24"/>
                <w:szCs w:val="24"/>
              </w:rPr>
              <w:t>同时</w:t>
            </w:r>
            <w:r>
              <w:rPr>
                <w:rFonts w:hint="eastAsia" w:asciiTheme="minorEastAsia" w:hAnsiTheme="minorEastAsia" w:eastAsiaTheme="minorEastAsia" w:cstheme="minorEastAsia"/>
                <w:color w:val="auto"/>
                <w:sz w:val="24"/>
                <w:szCs w:val="24"/>
              </w:rPr>
              <w:t>必须提供设备厂商针对此项目的原厂质保函（加盖原厂公章）</w:t>
            </w:r>
          </w:p>
        </w:tc>
      </w:tr>
    </w:tbl>
    <w:p>
      <w:pPr>
        <w:pStyle w:val="5"/>
        <w:numPr>
          <w:ilvl w:val="0"/>
          <w:numId w:val="0"/>
        </w:numPr>
        <w:adjustRightInd w:val="0"/>
        <w:snapToGrid w:val="0"/>
        <w:ind w:leftChars="0"/>
      </w:pPr>
    </w:p>
    <w:p>
      <w:pPr>
        <w:pStyle w:val="5"/>
        <w:numPr>
          <w:ilvl w:val="0"/>
          <w:numId w:val="0"/>
        </w:numPr>
        <w:adjustRightInd w:val="0"/>
        <w:snapToGrid w:val="0"/>
        <w:ind w:leftChars="0"/>
      </w:pPr>
    </w:p>
    <w:p>
      <w:pPr>
        <w:pStyle w:val="5"/>
        <w:numPr>
          <w:ilvl w:val="0"/>
          <w:numId w:val="0"/>
        </w:numPr>
        <w:adjustRightInd w:val="0"/>
        <w:snapToGrid w:val="0"/>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lvlText w:val="%1"/>
      <w:lvlJc w:val="left"/>
      <w:pPr>
        <w:tabs>
          <w:tab w:val="left" w:pos="832"/>
        </w:tabs>
        <w:ind w:left="832" w:hanging="432"/>
      </w:pPr>
      <w:rPr>
        <w:rFonts w:hint="eastAsia"/>
      </w:rPr>
    </w:lvl>
    <w:lvl w:ilvl="1" w:tentative="0">
      <w:start w:val="1"/>
      <w:numFmt w:val="decimal"/>
      <w:pStyle w:val="2"/>
      <w:lvlText w:val="%1.%2"/>
      <w:lvlJc w:val="left"/>
      <w:pPr>
        <w:tabs>
          <w:tab w:val="left" w:pos="976"/>
        </w:tabs>
        <w:ind w:left="976" w:hanging="576"/>
      </w:pPr>
      <w:rPr>
        <w:rFonts w:hint="eastAsia"/>
      </w:rPr>
    </w:lvl>
    <w:lvl w:ilvl="2" w:tentative="0">
      <w:start w:val="1"/>
      <w:numFmt w:val="decimal"/>
      <w:lvlText w:val="%1.%2.%3"/>
      <w:lvlJc w:val="left"/>
      <w:pPr>
        <w:tabs>
          <w:tab w:val="left" w:pos="1120"/>
        </w:tabs>
        <w:ind w:left="1120" w:hanging="720"/>
      </w:pPr>
      <w:rPr>
        <w:rFonts w:hint="eastAsia"/>
      </w:rPr>
    </w:lvl>
    <w:lvl w:ilvl="3" w:tentative="0">
      <w:start w:val="1"/>
      <w:numFmt w:val="decimal"/>
      <w:lvlText w:val="%1.%2.%3.%4"/>
      <w:lvlJc w:val="left"/>
      <w:pPr>
        <w:tabs>
          <w:tab w:val="left" w:pos="1264"/>
        </w:tabs>
        <w:ind w:left="1264" w:hanging="864"/>
      </w:pPr>
      <w:rPr>
        <w:rFonts w:hint="eastAsia"/>
      </w:rPr>
    </w:lvl>
    <w:lvl w:ilvl="4" w:tentative="0">
      <w:start w:val="1"/>
      <w:numFmt w:val="decimal"/>
      <w:lvlRestart w:val="0"/>
      <w:lvlText w:val="%1.%2.%3.%4.%5"/>
      <w:lvlJc w:val="left"/>
      <w:pPr>
        <w:tabs>
          <w:tab w:val="left" w:pos="1408"/>
        </w:tabs>
        <w:ind w:left="1408" w:hanging="1008"/>
      </w:pPr>
      <w:rPr>
        <w:rFonts w:hint="eastAsia"/>
      </w:rPr>
    </w:lvl>
    <w:lvl w:ilvl="5" w:tentative="0">
      <w:start w:val="1"/>
      <w:numFmt w:val="decimal"/>
      <w:lvlText w:val="%1.%2.%3.%4.%5.%6"/>
      <w:lvlJc w:val="left"/>
      <w:pPr>
        <w:tabs>
          <w:tab w:val="left" w:pos="1552"/>
        </w:tabs>
        <w:ind w:left="1552" w:hanging="1152"/>
      </w:pPr>
      <w:rPr>
        <w:rFonts w:hint="eastAsia"/>
      </w:rPr>
    </w:lvl>
    <w:lvl w:ilvl="6" w:tentative="0">
      <w:start w:val="1"/>
      <w:numFmt w:val="decimal"/>
      <w:lvlRestart w:val="1"/>
      <w:suff w:val="space"/>
      <w:lvlText w:val="图 %1-%7"/>
      <w:lvlJc w:val="left"/>
      <w:pPr>
        <w:ind w:left="1696" w:hanging="1296"/>
      </w:pPr>
      <w:rPr>
        <w:rFonts w:hint="eastAsia"/>
      </w:rPr>
    </w:lvl>
    <w:lvl w:ilvl="7" w:tentative="0">
      <w:start w:val="1"/>
      <w:numFmt w:val="decimal"/>
      <w:lvlText w:val="%1.%2.%3.%4.%5.%6.%7.%8"/>
      <w:lvlJc w:val="left"/>
      <w:pPr>
        <w:tabs>
          <w:tab w:val="left" w:pos="1840"/>
        </w:tabs>
        <w:ind w:left="1840" w:hanging="1440"/>
      </w:pPr>
      <w:rPr>
        <w:rFonts w:hint="eastAsia"/>
      </w:rPr>
    </w:lvl>
    <w:lvl w:ilvl="8" w:tentative="0">
      <w:start w:val="1"/>
      <w:numFmt w:val="decimal"/>
      <w:lvlText w:val="%1.%2.%3.%4.%5.%6.%7.%8.%9"/>
      <w:lvlJc w:val="left"/>
      <w:pPr>
        <w:tabs>
          <w:tab w:val="left" w:pos="1984"/>
        </w:tabs>
        <w:ind w:left="19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01DBC"/>
    <w:rsid w:val="2B0C7444"/>
    <w:rsid w:val="37FE7715"/>
    <w:rsid w:val="3FFF9ED7"/>
    <w:rsid w:val="3FFF9F40"/>
    <w:rsid w:val="41A01DBC"/>
    <w:rsid w:val="49121B49"/>
    <w:rsid w:val="4B172986"/>
    <w:rsid w:val="5DFB92DA"/>
    <w:rsid w:val="5FFF2337"/>
    <w:rsid w:val="71FFEF7D"/>
    <w:rsid w:val="777F32A9"/>
    <w:rsid w:val="7DF9B2D7"/>
    <w:rsid w:val="7F9FF805"/>
    <w:rsid w:val="7FDB61C3"/>
    <w:rsid w:val="8F6F018C"/>
    <w:rsid w:val="AC15096C"/>
    <w:rsid w:val="B7BB51E9"/>
    <w:rsid w:val="BEFFC403"/>
    <w:rsid w:val="BFD576AE"/>
    <w:rsid w:val="DF6FA2CA"/>
    <w:rsid w:val="DFDBDC3E"/>
    <w:rsid w:val="EFF34097"/>
    <w:rsid w:val="F3BFB7CF"/>
    <w:rsid w:val="F3CFBAA5"/>
    <w:rsid w:val="F7973ACD"/>
    <w:rsid w:val="FDFF2DCF"/>
    <w:rsid w:val="FEFFB8AB"/>
    <w:rsid w:val="FF37BF51"/>
    <w:rsid w:val="FFEE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numPr>
        <w:ilvl w:val="1"/>
        <w:numId w:val="1"/>
      </w:numPr>
      <w:spacing w:before="300" w:after="300"/>
      <w:jc w:val="left"/>
      <w:outlineLvl w:val="1"/>
    </w:pPr>
    <w:rPr>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qFormat/>
    <w:uiPriority w:val="0"/>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2020-02-06T21:30:00Z</dcterms:created>
  <dc:creator>吴康伟</dc:creator>
  <cp:lastModifiedBy>分针</cp:lastModifiedBy>
  <dcterms:modified xsi:type="dcterms:W3CDTF">2020-07-23T07:41:03Z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